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90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4.788293897883"/>
        <w:gridCol w:w="1909.5018679950185"/>
        <w:gridCol w:w="2215.9651307596514"/>
        <w:gridCol w:w="2027.3723536737236"/>
        <w:gridCol w:w="2027.3723536737236"/>
        <w:tblGridChange w:id="0">
          <w:tblGrid>
            <w:gridCol w:w="1284.788293897883"/>
            <w:gridCol w:w="1909.5018679950185"/>
            <w:gridCol w:w="2215.9651307596514"/>
            <w:gridCol w:w="2027.3723536737236"/>
            <w:gridCol w:w="2027.3723536737236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Table 2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Grading Rubric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Proficient (3)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(2)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Beginning (1)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Unacceptable (0)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Patient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 mentions all factors thoroughly: patient's name, age, heart attack diagnosis, and lifestyle choices.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 mentions a combination of 3 factors: patient's name, age, heart attack diagnosis, and/or lifestyle choices.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 mentions one or a combination of 2 factors: patient's name, age, heart attack diagnosis, and/or lifestyle choices.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Missing or not observed.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Heart attack key factors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 references most or all key factors.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 mentions some or half key factors.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 only references a few key factors of a heart attack.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Missing or not observed.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Illustration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Student’s illustration includes all factors thoroughly: blood vessels, blood clot, and blood flow.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Student’s illustration mentions a combination of 2 factors: blood vessels, blood clot, and/or blood flow.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Student mentions one factor:  blood vessels, blood clot, and/or blood flow.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Missing or not observed.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Teacher Comments: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